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697" w:rsidRDefault="00230697" w:rsidP="00230697">
      <w:pPr>
        <w:jc w:val="center"/>
        <w:rPr>
          <w:color w:val="000000"/>
        </w:rPr>
      </w:pPr>
      <w:bookmarkStart w:id="0" w:name="_GoBack"/>
      <w:bookmarkEnd w:id="0"/>
      <w:r>
        <w:rPr>
          <w:noProof/>
          <w:color w:val="1F497D"/>
        </w:rPr>
        <w:drawing>
          <wp:inline distT="0" distB="0" distL="0" distR="0" wp14:anchorId="6FB99E61" wp14:editId="3EFDDBCF">
            <wp:extent cx="5943600" cy="866775"/>
            <wp:effectExtent l="0" t="0" r="0" b="9525"/>
            <wp:docPr id="1" name="Picture 6" descr="cid:image001.jpg@01CFA751.AD22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CFA751.AD2227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866775"/>
                    </a:xfrm>
                    <a:prstGeom prst="rect">
                      <a:avLst/>
                    </a:prstGeom>
                    <a:noFill/>
                    <a:ln>
                      <a:noFill/>
                    </a:ln>
                  </pic:spPr>
                </pic:pic>
              </a:graphicData>
            </a:graphic>
          </wp:inline>
        </w:drawing>
      </w:r>
    </w:p>
    <w:p w:rsidR="00230697" w:rsidRDefault="00230697" w:rsidP="00230697">
      <w:pPr>
        <w:jc w:val="center"/>
        <w:rPr>
          <w:rFonts w:ascii="Arial" w:hAnsi="Arial" w:cs="Arial"/>
          <w:b/>
          <w:bCs/>
          <w:color w:val="1F497D"/>
          <w:sz w:val="36"/>
          <w:szCs w:val="36"/>
        </w:rPr>
      </w:pPr>
      <w:r>
        <w:rPr>
          <w:rFonts w:ascii="Arial" w:hAnsi="Arial" w:cs="Arial"/>
          <w:b/>
          <w:bCs/>
          <w:color w:val="1F497D"/>
          <w:sz w:val="36"/>
          <w:szCs w:val="36"/>
        </w:rPr>
        <w:t>Duke Psychiatry and Behavioral Sciences Grand Rounds</w:t>
      </w:r>
    </w:p>
    <w:p w:rsidR="00230697" w:rsidRDefault="00230697" w:rsidP="00230697">
      <w:pPr>
        <w:jc w:val="center"/>
        <w:rPr>
          <w:rFonts w:ascii="Arial" w:hAnsi="Arial" w:cs="Arial"/>
          <w:i/>
          <w:iCs/>
          <w:color w:val="000099"/>
          <w:sz w:val="24"/>
          <w:szCs w:val="24"/>
        </w:rPr>
      </w:pPr>
      <w:proofErr w:type="gramStart"/>
      <w:r>
        <w:rPr>
          <w:rFonts w:ascii="Arial" w:hAnsi="Arial" w:cs="Arial"/>
          <w:i/>
          <w:iCs/>
          <w:color w:val="1F497D"/>
          <w:sz w:val="24"/>
          <w:szCs w:val="24"/>
        </w:rPr>
        <w:t>presents</w:t>
      </w:r>
      <w:proofErr w:type="gramEnd"/>
    </w:p>
    <w:p w:rsidR="00230697" w:rsidRDefault="00230697" w:rsidP="00230697">
      <w:pPr>
        <w:rPr>
          <w:rFonts w:ascii="Arial" w:hAnsi="Arial" w:cs="Arial"/>
          <w:color w:val="1F497D"/>
        </w:rPr>
      </w:pPr>
    </w:p>
    <w:p w:rsidR="00230697" w:rsidRDefault="00230697" w:rsidP="00230697">
      <w:pPr>
        <w:jc w:val="center"/>
        <w:rPr>
          <w:rFonts w:ascii="Arial" w:hAnsi="Arial" w:cs="Arial"/>
          <w:b/>
          <w:bCs/>
          <w:color w:val="1F497D" w:themeColor="dark2"/>
          <w:sz w:val="36"/>
          <w:szCs w:val="36"/>
        </w:rPr>
      </w:pPr>
      <w:r>
        <w:rPr>
          <w:rFonts w:ascii="Arial" w:hAnsi="Arial" w:cs="Arial"/>
          <w:b/>
          <w:bCs/>
          <w:color w:val="1F497D"/>
          <w:sz w:val="36"/>
          <w:szCs w:val="36"/>
        </w:rPr>
        <w:t>“</w:t>
      </w:r>
      <w:r>
        <w:rPr>
          <w:rFonts w:ascii="Arial" w:hAnsi="Arial" w:cs="Arial"/>
          <w:b/>
          <w:bCs/>
          <w:color w:val="1F497D" w:themeColor="dark2"/>
          <w:sz w:val="36"/>
          <w:szCs w:val="36"/>
        </w:rPr>
        <w:t xml:space="preserve">Real-time </w:t>
      </w:r>
      <w:r>
        <w:rPr>
          <w:rFonts w:ascii="Arial" w:hAnsi="Arial" w:cs="Arial"/>
          <w:b/>
          <w:bCs/>
          <w:i/>
          <w:color w:val="1F497D" w:themeColor="dark2"/>
          <w:sz w:val="36"/>
          <w:szCs w:val="36"/>
        </w:rPr>
        <w:t>in vivo</w:t>
      </w:r>
      <w:r>
        <w:rPr>
          <w:rFonts w:ascii="Arial" w:hAnsi="Arial" w:cs="Arial"/>
          <w:b/>
          <w:bCs/>
          <w:color w:val="1F497D" w:themeColor="dark2"/>
          <w:sz w:val="36"/>
          <w:szCs w:val="36"/>
        </w:rPr>
        <w:t xml:space="preserve"> Measurements of Neurotransmitters: </w:t>
      </w:r>
    </w:p>
    <w:p w:rsidR="00230697" w:rsidRDefault="00230697" w:rsidP="00230697">
      <w:pPr>
        <w:jc w:val="center"/>
        <w:rPr>
          <w:rFonts w:ascii="Arial" w:hAnsi="Arial" w:cs="Arial"/>
          <w:b/>
          <w:bCs/>
          <w:color w:val="000099"/>
          <w:sz w:val="36"/>
          <w:szCs w:val="36"/>
        </w:rPr>
      </w:pPr>
      <w:r>
        <w:rPr>
          <w:rFonts w:ascii="Arial" w:hAnsi="Arial" w:cs="Arial"/>
          <w:b/>
          <w:bCs/>
          <w:color w:val="1F497D" w:themeColor="dark2"/>
          <w:sz w:val="36"/>
          <w:szCs w:val="36"/>
        </w:rPr>
        <w:t>A Fundamental Analysis of Serotonin’s Neurochemistry as a Biomarker for Antidepressant Efficacy</w:t>
      </w:r>
      <w:r>
        <w:rPr>
          <w:rFonts w:ascii="Arial" w:hAnsi="Arial" w:cs="Arial"/>
          <w:b/>
          <w:bCs/>
          <w:color w:val="1F497D"/>
          <w:sz w:val="36"/>
          <w:szCs w:val="36"/>
        </w:rPr>
        <w:t>”</w:t>
      </w:r>
    </w:p>
    <w:p w:rsidR="00230697" w:rsidRDefault="00230697" w:rsidP="00230697">
      <w:pPr>
        <w:jc w:val="center"/>
        <w:rPr>
          <w:rFonts w:ascii="Arial" w:hAnsi="Arial" w:cs="Arial"/>
          <w:b/>
          <w:bCs/>
          <w:color w:val="000099"/>
        </w:rPr>
      </w:pPr>
    </w:p>
    <w:p w:rsidR="00230697" w:rsidRDefault="00230697" w:rsidP="00230697">
      <w:pPr>
        <w:jc w:val="center"/>
        <w:rPr>
          <w:rFonts w:ascii="Arial" w:hAnsi="Arial" w:cs="Arial"/>
          <w:b/>
          <w:bCs/>
          <w:color w:val="1F497D"/>
          <w:sz w:val="36"/>
          <w:szCs w:val="36"/>
        </w:rPr>
      </w:pPr>
      <w:r>
        <w:rPr>
          <w:rFonts w:ascii="Arial" w:hAnsi="Arial" w:cs="Arial"/>
          <w:b/>
          <w:bCs/>
          <w:color w:val="1F497D" w:themeColor="dark2"/>
          <w:sz w:val="36"/>
          <w:szCs w:val="36"/>
        </w:rPr>
        <w:t>December 4</w:t>
      </w:r>
      <w:r>
        <w:rPr>
          <w:rFonts w:ascii="Arial" w:hAnsi="Arial" w:cs="Arial"/>
          <w:b/>
          <w:bCs/>
          <w:color w:val="1F497D"/>
          <w:sz w:val="36"/>
          <w:szCs w:val="36"/>
        </w:rPr>
        <w:t>, 2014</w:t>
      </w:r>
    </w:p>
    <w:p w:rsidR="00230697" w:rsidRDefault="00230697" w:rsidP="00230697">
      <w:pPr>
        <w:jc w:val="center"/>
        <w:rPr>
          <w:b/>
          <w:bCs/>
          <w:color w:val="1F497D"/>
        </w:rPr>
      </w:pPr>
    </w:p>
    <w:p w:rsidR="00230697" w:rsidRDefault="00230697" w:rsidP="00230697">
      <w:pPr>
        <w:jc w:val="center"/>
        <w:rPr>
          <w:rFonts w:ascii="Arial" w:hAnsi="Arial" w:cs="Arial"/>
          <w:b/>
          <w:bCs/>
          <w:color w:val="1F497D"/>
          <w:sz w:val="36"/>
          <w:szCs w:val="36"/>
        </w:rPr>
      </w:pPr>
      <w:r>
        <w:rPr>
          <w:rFonts w:ascii="Arial" w:hAnsi="Arial" w:cs="Arial"/>
          <w:b/>
          <w:bCs/>
          <w:color w:val="1F497D"/>
          <w:sz w:val="36"/>
          <w:szCs w:val="36"/>
        </w:rPr>
        <w:t>12:00 - 1:00 pm, Duke North Lecture Hall 2002</w:t>
      </w:r>
    </w:p>
    <w:p w:rsidR="00230697" w:rsidRDefault="00230697" w:rsidP="00230697">
      <w:pPr>
        <w:jc w:val="center"/>
        <w:rPr>
          <w:rFonts w:ascii="Arial" w:hAnsi="Arial" w:cs="Arial"/>
          <w:b/>
          <w:bCs/>
          <w:color w:val="000099"/>
          <w:sz w:val="24"/>
          <w:szCs w:val="24"/>
        </w:rPr>
      </w:pPr>
    </w:p>
    <w:p w:rsidR="00230697" w:rsidRDefault="00230697" w:rsidP="00230697">
      <w:pPr>
        <w:jc w:val="center"/>
        <w:rPr>
          <w:rFonts w:ascii="Arial" w:hAnsi="Arial" w:cs="Arial"/>
          <w:b/>
          <w:bCs/>
          <w:color w:val="000099"/>
          <w:sz w:val="32"/>
          <w:szCs w:val="32"/>
        </w:rPr>
      </w:pPr>
    </w:p>
    <w:tbl>
      <w:tblPr>
        <w:tblW w:w="0" w:type="auto"/>
        <w:jc w:val="center"/>
        <w:tblCellMar>
          <w:left w:w="0" w:type="dxa"/>
          <w:right w:w="0" w:type="dxa"/>
        </w:tblCellMar>
        <w:tblLook w:val="04A0" w:firstRow="1" w:lastRow="0" w:firstColumn="1" w:lastColumn="0" w:noHBand="0" w:noVBand="1"/>
      </w:tblPr>
      <w:tblGrid>
        <w:gridCol w:w="10152"/>
      </w:tblGrid>
      <w:tr w:rsidR="00230697" w:rsidTr="00230697">
        <w:trPr>
          <w:trHeight w:val="3060"/>
          <w:jc w:val="center"/>
        </w:trPr>
        <w:tc>
          <w:tcPr>
            <w:tcW w:w="11803" w:type="dxa"/>
            <w:tcMar>
              <w:top w:w="0" w:type="dxa"/>
              <w:left w:w="108" w:type="dxa"/>
              <w:bottom w:w="0" w:type="dxa"/>
              <w:right w:w="108" w:type="dxa"/>
            </w:tcMar>
          </w:tcPr>
          <w:p w:rsidR="00230697" w:rsidRDefault="00230697">
            <w:pPr>
              <w:rPr>
                <w:rFonts w:ascii="Arial" w:hAnsi="Arial" w:cs="Arial"/>
                <w:b/>
                <w:bCs/>
                <w:sz w:val="28"/>
                <w:szCs w:val="28"/>
              </w:rPr>
            </w:pPr>
            <w:r>
              <w:rPr>
                <w:noProof/>
              </w:rPr>
              <w:drawing>
                <wp:anchor distT="0" distB="0" distL="114300" distR="114300" simplePos="0" relativeHeight="251659264" behindDoc="0" locked="0" layoutInCell="1" allowOverlap="1" wp14:anchorId="63A9F00C" wp14:editId="096ADED2">
                  <wp:simplePos x="0" y="0"/>
                  <wp:positionH relativeFrom="column">
                    <wp:posOffset>0</wp:posOffset>
                  </wp:positionH>
                  <wp:positionV relativeFrom="paragraph">
                    <wp:posOffset>0</wp:posOffset>
                  </wp:positionV>
                  <wp:extent cx="1727200" cy="2651760"/>
                  <wp:effectExtent l="0" t="0" r="635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00" cy="26517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rPr>
              <w:t xml:space="preserve">Presenter: </w:t>
            </w:r>
            <w:proofErr w:type="spellStart"/>
            <w:r>
              <w:rPr>
                <w:rFonts w:ascii="Arial" w:hAnsi="Arial" w:cs="Arial"/>
                <w:b/>
                <w:bCs/>
                <w:sz w:val="28"/>
                <w:szCs w:val="28"/>
              </w:rPr>
              <w:t>Parastoo</w:t>
            </w:r>
            <w:proofErr w:type="spellEnd"/>
            <w:r>
              <w:rPr>
                <w:rFonts w:ascii="Arial" w:hAnsi="Arial" w:cs="Arial"/>
                <w:b/>
                <w:bCs/>
                <w:sz w:val="28"/>
                <w:szCs w:val="28"/>
              </w:rPr>
              <w:t xml:space="preserve"> </w:t>
            </w:r>
            <w:proofErr w:type="spellStart"/>
            <w:r>
              <w:rPr>
                <w:rFonts w:ascii="Arial" w:hAnsi="Arial" w:cs="Arial"/>
                <w:b/>
                <w:bCs/>
                <w:sz w:val="28"/>
                <w:szCs w:val="28"/>
              </w:rPr>
              <w:t>Hashemi</w:t>
            </w:r>
            <w:proofErr w:type="spellEnd"/>
            <w:r>
              <w:rPr>
                <w:rFonts w:ascii="Arial" w:hAnsi="Arial" w:cs="Arial"/>
                <w:b/>
                <w:bCs/>
                <w:sz w:val="28"/>
                <w:szCs w:val="28"/>
              </w:rPr>
              <w:t xml:space="preserve">, </w:t>
            </w:r>
            <w:proofErr w:type="spellStart"/>
            <w:r>
              <w:rPr>
                <w:rFonts w:ascii="Arial" w:hAnsi="Arial" w:cs="Arial"/>
                <w:b/>
                <w:bCs/>
                <w:sz w:val="28"/>
                <w:szCs w:val="28"/>
              </w:rPr>
              <w:t>MSci</w:t>
            </w:r>
            <w:proofErr w:type="spellEnd"/>
            <w:r>
              <w:rPr>
                <w:rFonts w:ascii="Arial" w:hAnsi="Arial" w:cs="Arial"/>
                <w:b/>
                <w:bCs/>
                <w:sz w:val="28"/>
                <w:szCs w:val="28"/>
              </w:rPr>
              <w:t>, PhD</w:t>
            </w:r>
          </w:p>
          <w:p w:rsidR="00230697" w:rsidRDefault="00230697">
            <w:pPr>
              <w:rPr>
                <w:rFonts w:ascii="Arial" w:hAnsi="Arial" w:cs="Arial"/>
                <w:sz w:val="24"/>
                <w:szCs w:val="24"/>
              </w:rPr>
            </w:pPr>
            <w:r>
              <w:rPr>
                <w:rFonts w:ascii="Arial" w:hAnsi="Arial" w:cs="Arial"/>
                <w:sz w:val="24"/>
                <w:szCs w:val="24"/>
              </w:rPr>
              <w:t>Assistant Professor of Chemistry</w:t>
            </w:r>
          </w:p>
          <w:p w:rsidR="00230697" w:rsidRDefault="00230697">
            <w:pPr>
              <w:rPr>
                <w:rFonts w:ascii="Arial" w:hAnsi="Arial" w:cs="Arial"/>
                <w:sz w:val="24"/>
                <w:szCs w:val="24"/>
              </w:rPr>
            </w:pPr>
            <w:r>
              <w:rPr>
                <w:rFonts w:ascii="Arial" w:hAnsi="Arial" w:cs="Arial"/>
                <w:sz w:val="24"/>
                <w:szCs w:val="24"/>
              </w:rPr>
              <w:t>Wayne State University</w:t>
            </w:r>
          </w:p>
          <w:p w:rsidR="00230697" w:rsidRDefault="00230697">
            <w:pPr>
              <w:rPr>
                <w:rFonts w:ascii="Arial" w:hAnsi="Arial" w:cs="Arial"/>
                <w:b/>
                <w:bCs/>
              </w:rPr>
            </w:pPr>
          </w:p>
          <w:p w:rsidR="00230697" w:rsidRDefault="00230697">
            <w:pPr>
              <w:rPr>
                <w:rFonts w:ascii="Arial" w:hAnsi="Arial"/>
                <w:color w:val="222222"/>
                <w:sz w:val="24"/>
                <w:szCs w:val="24"/>
                <w:shd w:val="clear" w:color="auto" w:fill="FFFFFF"/>
              </w:rPr>
            </w:pPr>
            <w:r>
              <w:rPr>
                <w:rFonts w:ascii="Arial" w:hAnsi="Arial"/>
                <w:color w:val="222222"/>
                <w:sz w:val="24"/>
                <w:szCs w:val="24"/>
                <w:shd w:val="clear" w:color="auto" w:fill="FFFFFF"/>
              </w:rPr>
              <w:t xml:space="preserve">Dr. Hashemi received an MSci in Chemistry from King’s College in London in 2004. She carried out her PhD under Dr. Martyn </w:t>
            </w:r>
            <w:proofErr w:type="spellStart"/>
            <w:r>
              <w:rPr>
                <w:rFonts w:ascii="Arial" w:hAnsi="Arial"/>
                <w:color w:val="222222"/>
                <w:sz w:val="24"/>
                <w:szCs w:val="24"/>
                <w:shd w:val="clear" w:color="auto" w:fill="FFFFFF"/>
              </w:rPr>
              <w:t>Boutelle</w:t>
            </w:r>
            <w:proofErr w:type="spellEnd"/>
            <w:r>
              <w:rPr>
                <w:rFonts w:ascii="Arial" w:hAnsi="Arial"/>
                <w:color w:val="222222"/>
                <w:sz w:val="24"/>
                <w:szCs w:val="24"/>
                <w:shd w:val="clear" w:color="auto" w:fill="FFFFFF"/>
              </w:rPr>
              <w:t xml:space="preserve"> in the Department of Biomedical Engineering in Imperial College, London and graduated in 2007. She performed her post-doc with Professor Mark Wightman in the Department of Chemistry at UNC Chapel Hill from 2007-2011 and started her independent position in the Department of Chemistry at Wayne State University in 2011. She has pioneered a unique set of analytical tools that define her unique interdisciplinary program of probing the brain’s chemistry with ultra-microelectrodes.</w:t>
            </w:r>
          </w:p>
          <w:p w:rsidR="00230697" w:rsidRDefault="00230697">
            <w:pPr>
              <w:rPr>
                <w:rFonts w:ascii="Arial" w:hAnsi="Arial" w:cs="Arial"/>
                <w:b/>
                <w:bCs/>
                <w:color w:val="1F497D"/>
              </w:rPr>
            </w:pPr>
          </w:p>
        </w:tc>
      </w:tr>
      <w:tr w:rsidR="00230697" w:rsidTr="00230697">
        <w:trPr>
          <w:jc w:val="center"/>
        </w:trPr>
        <w:tc>
          <w:tcPr>
            <w:tcW w:w="11803" w:type="dxa"/>
            <w:vAlign w:val="center"/>
            <w:hideMark/>
          </w:tcPr>
          <w:p w:rsidR="00230697" w:rsidRDefault="00230697">
            <w:pPr>
              <w:rPr>
                <w:rFonts w:ascii="Times New Roman" w:eastAsia="Times New Roman" w:hAnsi="Times New Roman"/>
                <w:sz w:val="20"/>
                <w:szCs w:val="20"/>
              </w:rPr>
            </w:pPr>
          </w:p>
        </w:tc>
      </w:tr>
    </w:tbl>
    <w:p w:rsidR="00230697" w:rsidRDefault="00230697" w:rsidP="00230697">
      <w:pPr>
        <w:autoSpaceDE w:val="0"/>
        <w:autoSpaceDN w:val="0"/>
        <w:rPr>
          <w:rFonts w:ascii="Arial" w:hAnsi="Arial" w:cs="Arial"/>
          <w:b/>
          <w:bCs/>
          <w:color w:val="030094"/>
        </w:rPr>
      </w:pPr>
    </w:p>
    <w:p w:rsidR="00230697" w:rsidRDefault="00230697" w:rsidP="00230697">
      <w:pPr>
        <w:autoSpaceDE w:val="0"/>
        <w:autoSpaceDN w:val="0"/>
        <w:rPr>
          <w:rFonts w:ascii="Arial" w:hAnsi="Arial" w:cs="Arial"/>
          <w:b/>
          <w:bCs/>
          <w:color w:val="1F497D" w:themeColor="dark2"/>
        </w:rPr>
      </w:pPr>
    </w:p>
    <w:p w:rsidR="00230697" w:rsidRDefault="00230697" w:rsidP="00230697">
      <w:pPr>
        <w:autoSpaceDE w:val="0"/>
        <w:autoSpaceDN w:val="0"/>
        <w:rPr>
          <w:b/>
          <w:bCs/>
          <w:color w:val="1F497D" w:themeColor="dark2"/>
        </w:rPr>
      </w:pPr>
    </w:p>
    <w:p w:rsidR="00230697" w:rsidRDefault="00230697" w:rsidP="00230697">
      <w:pPr>
        <w:autoSpaceDE w:val="0"/>
        <w:autoSpaceDN w:val="0"/>
        <w:rPr>
          <w:rFonts w:ascii="Arial" w:hAnsi="Arial" w:cs="Arial"/>
          <w:b/>
          <w:bCs/>
        </w:rPr>
      </w:pPr>
      <w:r>
        <w:rPr>
          <w:rFonts w:ascii="Arial" w:hAnsi="Arial" w:cs="Arial"/>
          <w:b/>
          <w:bCs/>
        </w:rPr>
        <w:t>Objectives:  By the end of the session participants should be able to:</w:t>
      </w:r>
    </w:p>
    <w:p w:rsidR="00230697" w:rsidRDefault="00230697" w:rsidP="00230697">
      <w:pPr>
        <w:autoSpaceDE w:val="0"/>
        <w:autoSpaceDN w:val="0"/>
        <w:rPr>
          <w:rFonts w:ascii="Arial" w:hAnsi="Arial" w:cs="Arial"/>
          <w:b/>
          <w:bCs/>
        </w:rPr>
      </w:pPr>
      <w:r>
        <w:rPr>
          <w:rFonts w:ascii="Arial" w:hAnsi="Arial" w:cs="Arial"/>
          <w:b/>
          <w:bCs/>
        </w:rPr>
        <w:t xml:space="preserve">  </w:t>
      </w:r>
    </w:p>
    <w:p w:rsidR="00230697" w:rsidRDefault="00230697" w:rsidP="00230697">
      <w:pPr>
        <w:pStyle w:val="ListParagraph"/>
        <w:numPr>
          <w:ilvl w:val="0"/>
          <w:numId w:val="1"/>
        </w:numPr>
        <w:autoSpaceDE w:val="0"/>
        <w:autoSpaceDN w:val="0"/>
        <w:rPr>
          <w:rFonts w:ascii="Arial" w:hAnsi="Arial" w:cs="Arial"/>
          <w:b/>
          <w:bCs/>
        </w:rPr>
      </w:pPr>
      <w:r>
        <w:rPr>
          <w:rFonts w:ascii="Arial" w:hAnsi="Arial" w:cs="Arial"/>
          <w:b/>
          <w:bCs/>
        </w:rPr>
        <w:t xml:space="preserve">Name at least 4 characteristics of voltammetry that make it an ideal tool for </w:t>
      </w:r>
      <w:r>
        <w:rPr>
          <w:rFonts w:ascii="Arial" w:hAnsi="Arial" w:cs="Arial"/>
          <w:b/>
          <w:bCs/>
          <w:i/>
        </w:rPr>
        <w:t>in vivo</w:t>
      </w:r>
      <w:r>
        <w:rPr>
          <w:rFonts w:ascii="Arial" w:hAnsi="Arial" w:cs="Arial"/>
          <w:b/>
          <w:bCs/>
        </w:rPr>
        <w:t xml:space="preserve"> neurochemical analyses.</w:t>
      </w:r>
    </w:p>
    <w:p w:rsidR="00230697" w:rsidRDefault="00230697" w:rsidP="00230697">
      <w:pPr>
        <w:pStyle w:val="ListParagraph"/>
        <w:numPr>
          <w:ilvl w:val="0"/>
          <w:numId w:val="1"/>
        </w:numPr>
        <w:autoSpaceDE w:val="0"/>
        <w:autoSpaceDN w:val="0"/>
        <w:rPr>
          <w:rFonts w:ascii="Arial" w:hAnsi="Arial" w:cs="Arial"/>
          <w:b/>
          <w:bCs/>
        </w:rPr>
      </w:pPr>
      <w:r>
        <w:rPr>
          <w:rFonts w:ascii="Arial" w:hAnsi="Arial" w:cs="Arial"/>
          <w:b/>
          <w:bCs/>
        </w:rPr>
        <w:t xml:space="preserve">Identify at least 3 novel mechanistic insights into serotonin neurochemistry. </w:t>
      </w:r>
    </w:p>
    <w:p w:rsidR="00230697" w:rsidRDefault="00230697" w:rsidP="00230697">
      <w:pPr>
        <w:pStyle w:val="ListParagraph"/>
        <w:numPr>
          <w:ilvl w:val="0"/>
          <w:numId w:val="1"/>
        </w:numPr>
        <w:autoSpaceDE w:val="0"/>
        <w:autoSpaceDN w:val="0"/>
        <w:rPr>
          <w:rFonts w:ascii="Arial" w:hAnsi="Arial" w:cs="Arial"/>
          <w:b/>
          <w:bCs/>
        </w:rPr>
      </w:pPr>
      <w:r>
        <w:rPr>
          <w:rFonts w:ascii="Arial" w:hAnsi="Arial" w:cs="Arial"/>
          <w:b/>
          <w:bCs/>
        </w:rPr>
        <w:t xml:space="preserve">Describe the mechanisms by which the efficacy of commercially available antidepressants can potentially be predicted </w:t>
      </w:r>
      <w:proofErr w:type="spellStart"/>
      <w:r>
        <w:rPr>
          <w:rFonts w:ascii="Arial" w:hAnsi="Arial" w:cs="Arial"/>
          <w:b/>
          <w:bCs/>
        </w:rPr>
        <w:t>neurochemically</w:t>
      </w:r>
      <w:proofErr w:type="spellEnd"/>
      <w:r>
        <w:rPr>
          <w:rFonts w:ascii="Arial" w:hAnsi="Arial" w:cs="Arial"/>
          <w:b/>
          <w:bCs/>
        </w:rPr>
        <w:t xml:space="preserve"> in the pre-clinical stages of drug development.</w:t>
      </w:r>
    </w:p>
    <w:p w:rsidR="00230697" w:rsidRDefault="00230697" w:rsidP="00230697">
      <w:pPr>
        <w:autoSpaceDE w:val="0"/>
        <w:autoSpaceDN w:val="0"/>
        <w:rPr>
          <w:rFonts w:ascii="Arial" w:hAnsi="Arial" w:cs="Arial"/>
          <w:b/>
          <w:bCs/>
        </w:rPr>
      </w:pPr>
    </w:p>
    <w:p w:rsidR="00230697" w:rsidRDefault="00230697" w:rsidP="00230697">
      <w:pPr>
        <w:autoSpaceDE w:val="0"/>
        <w:autoSpaceDN w:val="0"/>
        <w:rPr>
          <w:rFonts w:ascii="Arial" w:hAnsi="Arial" w:cs="Arial"/>
          <w:u w:val="single"/>
        </w:rPr>
      </w:pPr>
      <w:r>
        <w:rPr>
          <w:rFonts w:ascii="Arial" w:hAnsi="Arial" w:cs="Arial"/>
          <w:u w:val="single"/>
        </w:rPr>
        <w:lastRenderedPageBreak/>
        <w:t>Accreditation</w:t>
      </w:r>
    </w:p>
    <w:p w:rsidR="00230697" w:rsidRDefault="00230697" w:rsidP="00230697">
      <w:pPr>
        <w:autoSpaceDE w:val="0"/>
        <w:autoSpaceDN w:val="0"/>
        <w:rPr>
          <w:rFonts w:ascii="Arial" w:hAnsi="Arial" w:cs="Arial"/>
        </w:rPr>
      </w:pPr>
      <w:r>
        <w:rPr>
          <w:rFonts w:ascii="Arial" w:hAnsi="Arial" w:cs="Arial"/>
        </w:rPr>
        <w:t>The Duke University School of Medicine is accredited by the Accreditation Council for Continuing Medical Education (ACCME) to provide continuing medical education for physicians.</w:t>
      </w:r>
    </w:p>
    <w:p w:rsidR="00230697" w:rsidRDefault="00230697" w:rsidP="00230697">
      <w:pPr>
        <w:autoSpaceDE w:val="0"/>
        <w:autoSpaceDN w:val="0"/>
        <w:rPr>
          <w:rFonts w:ascii="Arial" w:hAnsi="Arial" w:cs="Arial"/>
          <w:u w:val="single"/>
        </w:rPr>
      </w:pPr>
      <w:r>
        <w:rPr>
          <w:rFonts w:ascii="Arial" w:hAnsi="Arial" w:cs="Arial"/>
          <w:u w:val="single"/>
        </w:rPr>
        <w:t>Credit Designation</w:t>
      </w:r>
    </w:p>
    <w:p w:rsidR="00230697" w:rsidRDefault="00230697" w:rsidP="00230697">
      <w:pPr>
        <w:autoSpaceDE w:val="0"/>
        <w:autoSpaceDN w:val="0"/>
        <w:rPr>
          <w:rFonts w:ascii="Arial" w:hAnsi="Arial" w:cs="Arial"/>
        </w:rPr>
      </w:pPr>
      <w:r>
        <w:rPr>
          <w:rFonts w:ascii="Arial" w:hAnsi="Arial" w:cs="Arial"/>
        </w:rPr>
        <w:t xml:space="preserve">The Duke University School of Medicine designates this live activity for a maximum of 1.0 </w:t>
      </w:r>
      <w:r>
        <w:rPr>
          <w:rFonts w:ascii="Arial" w:hAnsi="Arial" w:cs="Arial"/>
          <w:i/>
          <w:iCs/>
        </w:rPr>
        <w:t xml:space="preserve">AMA PRA Category 1 credit(s) </w:t>
      </w:r>
      <w:r>
        <w:rPr>
          <w:rFonts w:ascii="Arial" w:hAnsi="Arial" w:cs="Arial"/>
          <w:vertAlign w:val="superscript"/>
        </w:rPr>
        <w:t>TM</w:t>
      </w:r>
      <w:r>
        <w:rPr>
          <w:rFonts w:ascii="Arial" w:hAnsi="Arial" w:cs="Arial"/>
        </w:rPr>
        <w:t>.  Physicians should only claim credit commensurate with the extent of their participation in the activity.</w:t>
      </w:r>
    </w:p>
    <w:p w:rsidR="00230697" w:rsidRDefault="00230697" w:rsidP="00230697">
      <w:pPr>
        <w:autoSpaceDE w:val="0"/>
        <w:autoSpaceDN w:val="0"/>
        <w:rPr>
          <w:rFonts w:ascii="Arial" w:hAnsi="Arial" w:cs="Arial"/>
          <w:u w:val="single"/>
        </w:rPr>
      </w:pPr>
    </w:p>
    <w:p w:rsidR="00230697" w:rsidRDefault="00230697" w:rsidP="00230697">
      <w:pPr>
        <w:autoSpaceDE w:val="0"/>
        <w:autoSpaceDN w:val="0"/>
        <w:rPr>
          <w:rFonts w:ascii="Arial" w:hAnsi="Arial" w:cs="Arial"/>
          <w:u w:val="single"/>
        </w:rPr>
      </w:pPr>
      <w:r>
        <w:rPr>
          <w:rFonts w:ascii="Arial" w:hAnsi="Arial" w:cs="Arial"/>
          <w:u w:val="single"/>
        </w:rPr>
        <w:t xml:space="preserve">CE Credit </w:t>
      </w:r>
    </w:p>
    <w:p w:rsidR="00230697" w:rsidRDefault="00230697" w:rsidP="00230697">
      <w:pPr>
        <w:autoSpaceDE w:val="0"/>
        <w:autoSpaceDN w:val="0"/>
        <w:rPr>
          <w:rFonts w:ascii="Arial" w:hAnsi="Arial" w:cs="Arial"/>
        </w:rPr>
      </w:pPr>
      <w:r>
        <w:rPr>
          <w:rFonts w:ascii="Arial" w:hAnsi="Arial" w:cs="Arial"/>
        </w:rPr>
        <w:t>Psychiatry Grand Rounds are co-sponsored by the North Carolina Psychological Association and Duke University School of Medicine. The North Carolina Psychological Association is approved by the American Psychological Association to sponsor continuing education for psychologists.  The North Carolina Psychological Association maintains responsibility for this program and its content.  This workshop is offered for 1 hour of continuing education credit.</w:t>
      </w:r>
    </w:p>
    <w:p w:rsidR="00230697" w:rsidRDefault="00230697" w:rsidP="00230697">
      <w:pPr>
        <w:autoSpaceDE w:val="0"/>
        <w:autoSpaceDN w:val="0"/>
        <w:rPr>
          <w:rFonts w:ascii="Arial" w:hAnsi="Arial" w:cs="Arial"/>
        </w:rPr>
      </w:pPr>
      <w:r>
        <w:rPr>
          <w:rFonts w:ascii="Arial" w:hAnsi="Arial" w:cs="Arial"/>
        </w:rPr>
        <w:t>To receive credit, you must be present for the entire workshop, and you must sign the sign-in and sign-out sheets. No credit will be given to participants who are more than 15 minutes late at the beginning of the workshop. No credit will be given to participants who leave before the close of the workshop.</w:t>
      </w:r>
    </w:p>
    <w:p w:rsidR="00230697" w:rsidRDefault="00230697" w:rsidP="00230697">
      <w:pPr>
        <w:autoSpaceDE w:val="0"/>
        <w:autoSpaceDN w:val="0"/>
        <w:rPr>
          <w:rFonts w:ascii="Arial" w:hAnsi="Arial" w:cs="Arial"/>
        </w:rPr>
      </w:pPr>
    </w:p>
    <w:p w:rsidR="00230697" w:rsidRDefault="00230697" w:rsidP="00230697">
      <w:pPr>
        <w:autoSpaceDE w:val="0"/>
        <w:autoSpaceDN w:val="0"/>
        <w:rPr>
          <w:rFonts w:ascii="Arial" w:hAnsi="Arial" w:cs="Arial"/>
        </w:rPr>
      </w:pPr>
      <w:r>
        <w:rPr>
          <w:rFonts w:ascii="Arial" w:hAnsi="Arial" w:cs="Arial"/>
        </w:rPr>
        <w:t>There are no fees to participants who attend grand rounds.</w:t>
      </w:r>
    </w:p>
    <w:p w:rsidR="00230697" w:rsidRDefault="00230697" w:rsidP="00230697">
      <w:pPr>
        <w:autoSpaceDE w:val="0"/>
        <w:autoSpaceDN w:val="0"/>
        <w:rPr>
          <w:rFonts w:ascii="Arial" w:hAnsi="Arial" w:cs="Arial"/>
          <w:b/>
          <w:bCs/>
        </w:rPr>
      </w:pPr>
    </w:p>
    <w:p w:rsidR="00230697" w:rsidRDefault="00230697" w:rsidP="00230697">
      <w:pPr>
        <w:autoSpaceDE w:val="0"/>
        <w:autoSpaceDN w:val="0"/>
        <w:rPr>
          <w:rFonts w:ascii="Arial" w:hAnsi="Arial" w:cs="Arial"/>
          <w:b/>
          <w:bCs/>
        </w:rPr>
      </w:pPr>
    </w:p>
    <w:p w:rsidR="00230697" w:rsidRDefault="00230697" w:rsidP="00230697">
      <w:pPr>
        <w:autoSpaceDE w:val="0"/>
        <w:autoSpaceDN w:val="0"/>
        <w:rPr>
          <w:rFonts w:ascii="Arial" w:hAnsi="Arial" w:cs="Arial"/>
          <w:b/>
          <w:bCs/>
        </w:rPr>
      </w:pPr>
      <w:r>
        <w:rPr>
          <w:rFonts w:ascii="Arial" w:hAnsi="Arial" w:cs="Arial"/>
          <w:b/>
          <w:bCs/>
        </w:rPr>
        <w:t xml:space="preserve">To access previously recorded lectures on </w:t>
      </w:r>
      <w:proofErr w:type="spellStart"/>
      <w:r>
        <w:rPr>
          <w:rFonts w:ascii="Arial" w:hAnsi="Arial" w:cs="Arial"/>
          <w:b/>
          <w:bCs/>
        </w:rPr>
        <w:t>Mediasite</w:t>
      </w:r>
      <w:proofErr w:type="spellEnd"/>
      <w:r>
        <w:rPr>
          <w:rFonts w:ascii="Arial" w:hAnsi="Arial" w:cs="Arial"/>
          <w:b/>
          <w:bCs/>
        </w:rPr>
        <w:t xml:space="preserve">, please visit the Department of Psychiatry &amp; Behavioral Sciences blog (requires duke </w:t>
      </w:r>
      <w:proofErr w:type="spellStart"/>
      <w:r>
        <w:rPr>
          <w:rFonts w:ascii="Arial" w:hAnsi="Arial" w:cs="Arial"/>
          <w:b/>
          <w:bCs/>
        </w:rPr>
        <w:t>NetID</w:t>
      </w:r>
      <w:proofErr w:type="spellEnd"/>
      <w:r>
        <w:rPr>
          <w:rFonts w:ascii="Arial" w:hAnsi="Arial" w:cs="Arial"/>
          <w:b/>
          <w:bCs/>
        </w:rPr>
        <w:t xml:space="preserve">): </w:t>
      </w:r>
      <w:hyperlink r:id="rId8" w:history="1">
        <w:r>
          <w:rPr>
            <w:rStyle w:val="Hyperlink"/>
            <w:rFonts w:ascii="Arial" w:hAnsi="Arial" w:cs="Arial"/>
            <w:b/>
            <w:bCs/>
            <w:color w:val="auto"/>
          </w:rPr>
          <w:t>http://sites.duke.edu/dukepsychiatry/grand-rounds/</w:t>
        </w:r>
      </w:hyperlink>
      <w:r>
        <w:rPr>
          <w:rFonts w:ascii="Arial" w:hAnsi="Arial" w:cs="Arial"/>
          <w:b/>
          <w:bCs/>
          <w:u w:val="single"/>
        </w:rPr>
        <w:t xml:space="preserve"> </w:t>
      </w:r>
      <w:r>
        <w:rPr>
          <w:rFonts w:ascii="Arial" w:hAnsi="Arial" w:cs="Arial"/>
          <w:b/>
          <w:bCs/>
          <w:sz w:val="24"/>
          <w:szCs w:val="24"/>
        </w:rPr>
        <w:t> </w:t>
      </w:r>
    </w:p>
    <w:p w:rsidR="008C45AE" w:rsidRDefault="008C45AE"/>
    <w:sectPr w:rsidR="008C45AE" w:rsidSect="00230697">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269BF"/>
    <w:multiLevelType w:val="hybridMultilevel"/>
    <w:tmpl w:val="13A4E3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97"/>
    <w:rsid w:val="00230697"/>
    <w:rsid w:val="008C45AE"/>
    <w:rsid w:val="00F5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7753C-9001-4568-8634-46DAC2AF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697"/>
    <w:pPr>
      <w:spacing w:after="0" w:line="240"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697"/>
    <w:rPr>
      <w:color w:val="0000FF"/>
      <w:u w:val="single"/>
    </w:rPr>
  </w:style>
  <w:style w:type="paragraph" w:styleId="ListParagraph">
    <w:name w:val="List Paragraph"/>
    <w:basedOn w:val="Normal"/>
    <w:uiPriority w:val="34"/>
    <w:qFormat/>
    <w:rsid w:val="00230697"/>
    <w:pPr>
      <w:ind w:left="720"/>
    </w:pPr>
  </w:style>
  <w:style w:type="paragraph" w:styleId="BalloonText">
    <w:name w:val="Balloon Text"/>
    <w:basedOn w:val="Normal"/>
    <w:link w:val="BalloonTextChar"/>
    <w:uiPriority w:val="99"/>
    <w:semiHidden/>
    <w:unhideWhenUsed/>
    <w:rsid w:val="00230697"/>
    <w:rPr>
      <w:rFonts w:ascii="Tahoma" w:hAnsi="Tahoma" w:cs="Tahoma"/>
      <w:sz w:val="16"/>
      <w:szCs w:val="16"/>
    </w:rPr>
  </w:style>
  <w:style w:type="character" w:customStyle="1" w:styleId="BalloonTextChar">
    <w:name w:val="Balloon Text Char"/>
    <w:basedOn w:val="DefaultParagraphFont"/>
    <w:link w:val="BalloonText"/>
    <w:uiPriority w:val="99"/>
    <w:semiHidden/>
    <w:rsid w:val="0023069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duke.edu/dukepsychiatry/grand-round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FC39C.7C1EC6E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Phillis Scott</dc:creator>
  <cp:lastModifiedBy>Carol Lilley</cp:lastModifiedBy>
  <cp:revision>2</cp:revision>
  <dcterms:created xsi:type="dcterms:W3CDTF">2014-11-24T21:09:00Z</dcterms:created>
  <dcterms:modified xsi:type="dcterms:W3CDTF">2014-11-24T21:09:00Z</dcterms:modified>
</cp:coreProperties>
</file>